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宋体" w:eastAsia="黑体"/>
          <w:sz w:val="32"/>
          <w:szCs w:val="32"/>
        </w:rPr>
      </w:pPr>
      <w:r>
        <w:rPr>
          <w:rFonts w:hint="eastAsia" w:ascii="黑体" w:hAnsi="宋体" w:eastAsia="黑体"/>
          <w:sz w:val="32"/>
          <w:szCs w:val="32"/>
        </w:rPr>
        <w:t>附件1</w:t>
      </w:r>
      <w:bookmarkStart w:id="0" w:name="_GoBack"/>
      <w:bookmarkEnd w:id="0"/>
    </w:p>
    <w:p>
      <w:pPr>
        <w:pStyle w:val="2"/>
        <w:rPr>
          <w:rFonts w:hint="eastAsia"/>
        </w:rPr>
      </w:pPr>
    </w:p>
    <w:p>
      <w:pPr>
        <w:keepNext w:val="0"/>
        <w:keepLines w:val="0"/>
        <w:pageBreakBefore w:val="0"/>
        <w:kinsoku/>
        <w:wordWrap/>
        <w:overflowPunct/>
        <w:topLinePunct w:val="0"/>
        <w:autoSpaceDE/>
        <w:autoSpaceDN/>
        <w:bidi w:val="0"/>
        <w:adjustRightInd/>
        <w:snapToGrid/>
        <w:spacing w:line="440" w:lineRule="exact"/>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永州市民政局所属二级机构专项审计及福彩公益金绩效评价</w:t>
      </w:r>
      <w:r>
        <w:rPr>
          <w:rFonts w:hint="eastAsia" w:ascii="黑体" w:hAnsi="黑体" w:eastAsia="黑体" w:cs="黑体"/>
          <w:b w:val="0"/>
          <w:bCs w:val="0"/>
          <w:sz w:val="36"/>
          <w:szCs w:val="36"/>
        </w:rPr>
        <w:t>委托服务项目</w:t>
      </w:r>
      <w:r>
        <w:rPr>
          <w:rFonts w:hint="eastAsia" w:ascii="黑体" w:hAnsi="黑体" w:eastAsia="黑体" w:cs="黑体"/>
          <w:b w:val="0"/>
          <w:bCs w:val="0"/>
          <w:sz w:val="36"/>
          <w:szCs w:val="36"/>
          <w:lang w:eastAsia="zh-CN"/>
        </w:rPr>
        <w:t>细则</w:t>
      </w:r>
    </w:p>
    <w:p>
      <w:pPr>
        <w:keepNext w:val="0"/>
        <w:keepLines w:val="0"/>
        <w:pageBreakBefore w:val="0"/>
        <w:kinsoku/>
        <w:wordWrap/>
        <w:overflowPunct/>
        <w:topLinePunct w:val="0"/>
        <w:autoSpaceDE/>
        <w:autoSpaceDN/>
        <w:bidi w:val="0"/>
        <w:adjustRightInd/>
        <w:snapToGrid/>
        <w:spacing w:before="120" w:beforeLines="50" w:after="120" w:afterLines="50" w:line="440" w:lineRule="exact"/>
        <w:ind w:firstLine="42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一、</w:t>
      </w:r>
      <w:r>
        <w:rPr>
          <w:rFonts w:hint="eastAsia" w:ascii="黑体" w:hAnsi="黑体" w:eastAsia="黑体" w:cs="黑体"/>
          <w:b w:val="0"/>
          <w:bCs/>
          <w:color w:val="auto"/>
          <w:sz w:val="28"/>
          <w:szCs w:val="28"/>
        </w:rPr>
        <w:t>项目概述</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caps w:val="0"/>
          <w:color w:val="auto"/>
          <w:kern w:val="0"/>
          <w:sz w:val="28"/>
          <w:szCs w:val="28"/>
          <w:lang w:val="en-US" w:eastAsia="zh-CN"/>
        </w:rPr>
      </w:pPr>
      <w:r>
        <w:rPr>
          <w:rFonts w:hint="eastAsia"/>
          <w:sz w:val="36"/>
          <w:szCs w:val="36"/>
          <w:lang w:val="en-US" w:eastAsia="zh-CN"/>
        </w:rPr>
        <w:t xml:space="preserve">  </w:t>
      </w:r>
      <w:r>
        <w:rPr>
          <w:rFonts w:hint="eastAsia" w:ascii="仿宋_GB2312" w:hAnsi="仿宋_GB2312" w:eastAsia="仿宋_GB2312" w:cs="仿宋_GB2312"/>
          <w:b w:val="0"/>
          <w:bCs/>
          <w:caps w:val="0"/>
          <w:color w:val="auto"/>
          <w:kern w:val="0"/>
          <w:sz w:val="28"/>
          <w:szCs w:val="28"/>
          <w:lang w:val="en-US" w:eastAsia="zh-CN"/>
        </w:rPr>
        <w:t xml:space="preserve"> </w:t>
      </w:r>
      <w:r>
        <w:rPr>
          <w:rFonts w:hint="eastAsia" w:ascii="仿宋_GB2312" w:hAnsi="仿宋_GB2312" w:eastAsia="仿宋_GB2312" w:cs="仿宋_GB2312"/>
          <w:b w:val="0"/>
          <w:bCs/>
          <w:caps w:val="0"/>
          <w:color w:val="auto"/>
          <w:kern w:val="0"/>
          <w:sz w:val="28"/>
          <w:szCs w:val="28"/>
        </w:rPr>
        <w:t>为进一步</w:t>
      </w:r>
      <w:r>
        <w:rPr>
          <w:rFonts w:hint="eastAsia" w:ascii="仿宋_GB2312" w:hAnsi="仿宋_GB2312" w:eastAsia="仿宋_GB2312" w:cs="仿宋_GB2312"/>
          <w:b w:val="0"/>
          <w:bCs/>
          <w:caps w:val="0"/>
          <w:color w:val="auto"/>
          <w:kern w:val="0"/>
          <w:sz w:val="28"/>
          <w:szCs w:val="28"/>
          <w:lang w:eastAsia="zh-CN"/>
        </w:rPr>
        <w:t>加强资金监管，</w:t>
      </w:r>
      <w:r>
        <w:rPr>
          <w:rFonts w:hint="eastAsia" w:ascii="仿宋_GB2312" w:hAnsi="仿宋_GB2312" w:eastAsia="仿宋_GB2312" w:cs="仿宋_GB2312"/>
          <w:b w:val="0"/>
          <w:bCs/>
          <w:caps w:val="0"/>
          <w:color w:val="auto"/>
          <w:kern w:val="0"/>
          <w:sz w:val="28"/>
          <w:szCs w:val="28"/>
        </w:rPr>
        <w:t>提高财务</w:t>
      </w:r>
      <w:r>
        <w:rPr>
          <w:rFonts w:hint="eastAsia" w:ascii="仿宋_GB2312" w:hAnsi="仿宋_GB2312" w:eastAsia="仿宋_GB2312" w:cs="仿宋_GB2312"/>
          <w:b w:val="0"/>
          <w:bCs/>
          <w:caps w:val="0"/>
          <w:color w:val="auto"/>
          <w:kern w:val="0"/>
          <w:sz w:val="28"/>
          <w:szCs w:val="28"/>
          <w:lang w:eastAsia="zh-CN"/>
        </w:rPr>
        <w:t>检查监督</w:t>
      </w:r>
      <w:r>
        <w:rPr>
          <w:rFonts w:hint="eastAsia" w:ascii="仿宋_GB2312" w:hAnsi="仿宋_GB2312" w:eastAsia="仿宋_GB2312" w:cs="仿宋_GB2312"/>
          <w:b w:val="0"/>
          <w:bCs/>
          <w:caps w:val="0"/>
          <w:color w:val="auto"/>
          <w:kern w:val="0"/>
          <w:sz w:val="28"/>
          <w:szCs w:val="28"/>
        </w:rPr>
        <w:t>工作效率，经研究决定</w:t>
      </w:r>
      <w:r>
        <w:rPr>
          <w:rFonts w:hint="eastAsia" w:ascii="仿宋_GB2312" w:hAnsi="仿宋_GB2312" w:eastAsia="仿宋_GB2312" w:cs="仿宋_GB2312"/>
          <w:b w:val="0"/>
          <w:bCs/>
          <w:caps w:val="0"/>
          <w:color w:val="auto"/>
          <w:kern w:val="0"/>
          <w:sz w:val="28"/>
          <w:szCs w:val="28"/>
          <w:lang w:eastAsia="zh-CN"/>
        </w:rPr>
        <w:t>组织开展永州市民政局所属</w:t>
      </w:r>
      <w:r>
        <w:rPr>
          <w:rFonts w:hint="eastAsia" w:ascii="仿宋_GB2312" w:hAnsi="仿宋_GB2312" w:eastAsia="仿宋_GB2312" w:cs="仿宋_GB2312"/>
          <w:b w:val="0"/>
          <w:bCs/>
          <w:caps w:val="0"/>
          <w:color w:val="auto"/>
          <w:kern w:val="0"/>
          <w:sz w:val="28"/>
          <w:szCs w:val="28"/>
          <w:lang w:val="en-US" w:eastAsia="zh-CN"/>
        </w:rPr>
        <w:t>6个二级机构2020年度财务运行管理内部审计、1个二级机构2005年-2021年任期专项审计及2019-2020年度永州市福彩公益金专项资金绩效评价工作。</w:t>
      </w:r>
    </w:p>
    <w:p>
      <w:pPr>
        <w:pStyle w:val="2"/>
        <w:keepNext w:val="0"/>
        <w:keepLines w:val="0"/>
        <w:pageBreakBefore w:val="0"/>
        <w:numPr>
          <w:ilvl w:val="0"/>
          <w:numId w:val="1"/>
        </w:numPr>
        <w:kinsoku/>
        <w:wordWrap/>
        <w:overflowPunct/>
        <w:topLinePunct w:val="0"/>
        <w:autoSpaceDE/>
        <w:autoSpaceDN/>
        <w:bidi w:val="0"/>
        <w:adjustRightInd/>
        <w:snapToGrid/>
        <w:spacing w:line="440" w:lineRule="exact"/>
        <w:ind w:left="210" w:leftChars="0" w:firstLine="0" w:firstLineChars="0"/>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具体项目内容</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ind w:left="420" w:leftChars="0"/>
        <w:rPr>
          <w:rFonts w:hint="eastAsia"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（一）6个二级机构2020年度财务运行管理内部审计</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rPr>
          <w:rFonts w:hint="eastAsia"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机构1：年收入约3300万元，年支出约3400万元，资产总额约3054万元。</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rPr>
          <w:rFonts w:hint="default"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机构2：</w:t>
      </w:r>
      <w:r>
        <w:rPr>
          <w:rFonts w:hint="default" w:ascii="仿宋_GB2312" w:hAnsi="仿宋_GB2312" w:eastAsia="仿宋_GB2312" w:cs="仿宋_GB2312"/>
          <w:b w:val="0"/>
          <w:bCs/>
          <w:caps w:val="0"/>
          <w:color w:val="auto"/>
          <w:kern w:val="0"/>
          <w:sz w:val="28"/>
          <w:szCs w:val="28"/>
          <w:lang w:val="en-US" w:eastAsia="zh-CN"/>
        </w:rPr>
        <w:t>年收入约910万元，年支出约600万元，资产总额约1000万元。</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rPr>
          <w:rFonts w:hint="default"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机构3：</w:t>
      </w:r>
      <w:r>
        <w:rPr>
          <w:rFonts w:hint="default" w:ascii="仿宋_GB2312" w:hAnsi="仿宋_GB2312" w:eastAsia="仿宋_GB2312" w:cs="仿宋_GB2312"/>
          <w:b w:val="0"/>
          <w:bCs/>
          <w:caps w:val="0"/>
          <w:color w:val="auto"/>
          <w:kern w:val="0"/>
          <w:sz w:val="28"/>
          <w:szCs w:val="28"/>
          <w:lang w:val="en-US" w:eastAsia="zh-CN"/>
        </w:rPr>
        <w:t>年收入约140万元，年支出约120万元，资产总额约55万元。。</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rPr>
          <w:rFonts w:hint="eastAsia"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机构4：年收入约1600万元。年支出约1000万元。资产总额约5750万元。（百分之七十为固定资产）。</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rPr>
          <w:rFonts w:hint="eastAsia"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机构5：年收入约145万元，年支出约175万元，资产总额约3万元。</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rPr>
          <w:rFonts w:hint="default"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机构6：年收入约800万元，年支出约700万元，资产总额约1000万元。</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ind w:left="420" w:leftChars="0"/>
        <w:rPr>
          <w:rFonts w:hint="eastAsia" w:ascii="仿宋_GB2312" w:hAnsi="仿宋_GB2312" w:eastAsia="仿宋_GB2312" w:cs="仿宋_GB2312"/>
          <w:b w:val="0"/>
          <w:bCs/>
          <w:caps w:val="0"/>
          <w:color w:val="auto"/>
          <w:kern w:val="0"/>
          <w:sz w:val="28"/>
          <w:szCs w:val="28"/>
          <w:lang w:val="en-US" w:eastAsia="zh-CN"/>
        </w:rPr>
      </w:pPr>
      <w:r>
        <w:rPr>
          <w:rFonts w:hint="eastAsia" w:ascii="仿宋_GB2312" w:hAnsi="仿宋_GB2312" w:eastAsia="仿宋_GB2312" w:cs="仿宋_GB2312"/>
          <w:b w:val="0"/>
          <w:bCs/>
          <w:caps w:val="0"/>
          <w:color w:val="auto"/>
          <w:kern w:val="0"/>
          <w:sz w:val="28"/>
          <w:szCs w:val="28"/>
          <w:lang w:val="en-US" w:eastAsia="zh-CN"/>
        </w:rPr>
        <w:t>（二）1个二级机构2005年-2021年任期专项审计</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该机构2005年1月26日至2021年2月25日资产、负债、收支、结余以及相关经济决策、重大经济事项和相关经济活动的真实、合法、效益等情况开展检查。该机构近3年平均资产总额约为830万元，年平均收入1100万元，年平均支出约为1000万元。</w:t>
      </w:r>
    </w:p>
    <w:p>
      <w:pPr>
        <w:pStyle w:val="2"/>
        <w:keepNext w:val="0"/>
        <w:keepLines w:val="0"/>
        <w:pageBreakBefore w:val="0"/>
        <w:numPr>
          <w:ilvl w:val="0"/>
          <w:numId w:val="0"/>
        </w:numPr>
        <w:kinsoku/>
        <w:wordWrap/>
        <w:overflowPunct/>
        <w:topLinePunct w:val="0"/>
        <w:autoSpaceDE/>
        <w:autoSpaceDN/>
        <w:bidi w:val="0"/>
        <w:adjustRightInd/>
        <w:snapToGrid/>
        <w:spacing w:line="440" w:lineRule="exact"/>
        <w:ind w:left="420" w:leftChars="0"/>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（三）2019-2020年度永州市福彩公益金绩效评价</w:t>
      </w:r>
    </w:p>
    <w:tbl>
      <w:tblPr>
        <w:tblStyle w:val="4"/>
        <w:tblW w:w="9156" w:type="dxa"/>
        <w:tblInd w:w="0" w:type="dxa"/>
        <w:shd w:val="clear" w:color="auto" w:fill="auto"/>
        <w:tblLayout w:type="fixed"/>
        <w:tblCellMar>
          <w:top w:w="0" w:type="dxa"/>
          <w:left w:w="0" w:type="dxa"/>
          <w:bottom w:w="0" w:type="dxa"/>
          <w:right w:w="0" w:type="dxa"/>
        </w:tblCellMar>
      </w:tblPr>
      <w:tblGrid>
        <w:gridCol w:w="2638"/>
        <w:gridCol w:w="3267"/>
        <w:gridCol w:w="3251"/>
      </w:tblGrid>
      <w:tr>
        <w:tblPrEx>
          <w:shd w:val="clear" w:color="auto" w:fill="auto"/>
          <w:tblCellMar>
            <w:top w:w="0" w:type="dxa"/>
            <w:left w:w="0" w:type="dxa"/>
            <w:bottom w:w="0" w:type="dxa"/>
            <w:right w:w="0" w:type="dxa"/>
          </w:tblCellMar>
        </w:tblPrEx>
        <w:trPr>
          <w:trHeight w:val="620" w:hRule="atLeast"/>
        </w:trPr>
        <w:tc>
          <w:tcPr>
            <w:tcW w:w="9156" w:type="dxa"/>
            <w:gridSpan w:val="3"/>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b/>
                <w:i w:val="0"/>
                <w:color w:val="auto"/>
                <w:sz w:val="28"/>
                <w:szCs w:val="28"/>
                <w:u w:val="none"/>
              </w:rPr>
            </w:pPr>
          </w:p>
        </w:tc>
      </w:tr>
      <w:tr>
        <w:tblPrEx>
          <w:tblCellMar>
            <w:top w:w="0" w:type="dxa"/>
            <w:left w:w="0" w:type="dxa"/>
            <w:bottom w:w="0" w:type="dxa"/>
            <w:right w:w="0" w:type="dxa"/>
          </w:tblCellMar>
        </w:tblPrEx>
        <w:trPr>
          <w:trHeight w:val="110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县市区</w:t>
            </w:r>
          </w:p>
        </w:tc>
        <w:tc>
          <w:tcPr>
            <w:tcW w:w="32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r>
              <w:rPr>
                <w:rFonts w:hint="eastAsia" w:ascii="宋体" w:hAnsi="宋体" w:cs="宋体"/>
                <w:b/>
                <w:i w:val="0"/>
                <w:color w:val="auto"/>
                <w:kern w:val="0"/>
                <w:sz w:val="24"/>
                <w:szCs w:val="24"/>
                <w:u w:val="none"/>
                <w:lang w:val="en-US" w:eastAsia="zh-CN" w:bidi="ar"/>
              </w:rPr>
              <w:t>20</w:t>
            </w:r>
            <w:r>
              <w:rPr>
                <w:rFonts w:hint="eastAsia" w:ascii="宋体" w:hAnsi="宋体" w:eastAsia="宋体" w:cs="宋体"/>
                <w:b/>
                <w:i w:val="0"/>
                <w:color w:val="auto"/>
                <w:kern w:val="0"/>
                <w:sz w:val="24"/>
                <w:szCs w:val="24"/>
                <w:u w:val="none"/>
                <w:lang w:val="en-US" w:eastAsia="zh-CN" w:bidi="ar"/>
              </w:rPr>
              <w:t>年</w:t>
            </w:r>
            <w:r>
              <w:rPr>
                <w:rFonts w:hint="eastAsia" w:ascii="宋体" w:hAnsi="宋体" w:cs="宋体"/>
                <w:b/>
                <w:i w:val="0"/>
                <w:color w:val="auto"/>
                <w:kern w:val="0"/>
                <w:sz w:val="24"/>
                <w:szCs w:val="24"/>
                <w:u w:val="none"/>
                <w:lang w:val="en-US" w:eastAsia="zh-CN" w:bidi="ar"/>
              </w:rPr>
              <w:t>分成</w:t>
            </w:r>
            <w:r>
              <w:rPr>
                <w:rFonts w:hint="eastAsia" w:ascii="宋体" w:hAnsi="宋体" w:eastAsia="宋体" w:cs="宋体"/>
                <w:b/>
                <w:i w:val="0"/>
                <w:color w:val="auto"/>
                <w:kern w:val="0"/>
                <w:sz w:val="24"/>
                <w:szCs w:val="24"/>
                <w:u w:val="none"/>
                <w:lang w:val="en-US" w:eastAsia="zh-CN" w:bidi="ar"/>
              </w:rPr>
              <w:t>福彩公益金</w:t>
            </w:r>
          </w:p>
        </w:tc>
        <w:tc>
          <w:tcPr>
            <w:tcW w:w="3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2019年分成福彩公益金</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市本级</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635</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零陵区</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150</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冷水滩区</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200</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金洞区</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回龙圩区</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35</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经开区</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5</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东安县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112.3</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188.7</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道县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131.2</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360.1</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宁远县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147.9</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275.9</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江永县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107</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122.8</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江华县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114.3</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273.4</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蓝山县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152.9</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181.7</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新田县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85.8</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220.7</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双牌县</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60.1</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78.3</w:t>
            </w:r>
          </w:p>
        </w:tc>
      </w:tr>
      <w:tr>
        <w:tblPrEx>
          <w:tblCellMar>
            <w:top w:w="0" w:type="dxa"/>
            <w:left w:w="0" w:type="dxa"/>
            <w:bottom w:w="0" w:type="dxa"/>
            <w:right w:w="0" w:type="dxa"/>
          </w:tblCellMar>
        </w:tblPrEx>
        <w:trPr>
          <w:trHeight w:val="44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祁阳市</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316.7</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385.2</w:t>
            </w:r>
          </w:p>
        </w:tc>
      </w:tr>
      <w:tr>
        <w:tblPrEx>
          <w:tblCellMar>
            <w:top w:w="0" w:type="dxa"/>
            <w:left w:w="0" w:type="dxa"/>
            <w:bottom w:w="0" w:type="dxa"/>
            <w:right w:w="0" w:type="dxa"/>
          </w:tblCellMar>
        </w:tblPrEx>
        <w:trPr>
          <w:trHeight w:val="500" w:hRule="atLeast"/>
        </w:trPr>
        <w:tc>
          <w:tcPr>
            <w:tcW w:w="26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小计</w:t>
            </w:r>
          </w:p>
        </w:tc>
        <w:tc>
          <w:tcPr>
            <w:tcW w:w="32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color w:val="auto"/>
                <w:sz w:val="22"/>
                <w:szCs w:val="22"/>
                <w:u w:val="none"/>
                <w:lang w:val="en-US"/>
              </w:rPr>
            </w:pPr>
            <w:r>
              <w:rPr>
                <w:rFonts w:hint="eastAsia" w:ascii="宋体" w:hAnsi="宋体" w:cs="宋体"/>
                <w:i w:val="0"/>
                <w:color w:val="auto"/>
                <w:kern w:val="0"/>
                <w:sz w:val="22"/>
                <w:szCs w:val="22"/>
                <w:u w:val="none"/>
                <w:lang w:val="en-US" w:eastAsia="zh-CN" w:bidi="ar"/>
              </w:rPr>
              <w:t>2282.2</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2086.8</w:t>
            </w:r>
          </w:p>
        </w:tc>
      </w:tr>
    </w:tbl>
    <w:p>
      <w:pPr>
        <w:pStyle w:val="2"/>
        <w:keepNext w:val="0"/>
        <w:keepLines w:val="0"/>
        <w:pageBreakBefore w:val="0"/>
        <w:numPr>
          <w:ilvl w:val="0"/>
          <w:numId w:val="0"/>
        </w:numPr>
        <w:kinsoku/>
        <w:wordWrap/>
        <w:overflowPunct/>
        <w:topLinePunct w:val="0"/>
        <w:autoSpaceDE/>
        <w:autoSpaceDN/>
        <w:bidi w:val="0"/>
        <w:adjustRightInd/>
        <w:snapToGrid/>
        <w:spacing w:line="440" w:lineRule="exact"/>
        <w:ind w:left="420" w:leftChars="0"/>
        <w:rPr>
          <w:rFonts w:hint="default" w:ascii="仿宋_GB2312" w:hAnsi="仿宋_GB2312" w:eastAsia="仿宋_GB2312" w:cs="仿宋_GB2312"/>
          <w:b w:val="0"/>
          <w:bCs/>
          <w:caps w:val="0"/>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before="120" w:beforeLines="50" w:after="120" w:afterLines="50" w:line="440" w:lineRule="exact"/>
        <w:ind w:firstLine="42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三、工作开展</w:t>
      </w:r>
      <w:r>
        <w:rPr>
          <w:rFonts w:hint="eastAsia" w:ascii="黑体" w:hAnsi="黑体" w:eastAsia="黑体" w:cs="黑体"/>
          <w:b w:val="0"/>
          <w:bCs/>
          <w:color w:val="auto"/>
          <w:sz w:val="28"/>
          <w:szCs w:val="28"/>
          <w:lang w:eastAsia="zh-CN"/>
        </w:rPr>
        <w:t>时间要求</w:t>
      </w:r>
    </w:p>
    <w:p>
      <w:pPr>
        <w:keepNext w:val="0"/>
        <w:keepLines w:val="0"/>
        <w:pageBreakBefore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b w:val="0"/>
          <w:bCs/>
          <w:caps w:val="0"/>
          <w:color w:val="auto"/>
          <w:kern w:val="0"/>
          <w:sz w:val="28"/>
          <w:szCs w:val="28"/>
        </w:rPr>
      </w:pPr>
      <w:r>
        <w:rPr>
          <w:rFonts w:hint="eastAsia" w:ascii="仿宋_GB2312" w:hAnsi="仿宋_GB2312" w:eastAsia="仿宋_GB2312" w:cs="仿宋_GB2312"/>
          <w:b w:val="0"/>
          <w:bCs/>
          <w:caps w:val="0"/>
          <w:color w:val="auto"/>
          <w:kern w:val="0"/>
          <w:sz w:val="28"/>
          <w:szCs w:val="28"/>
          <w:lang w:val="en-US" w:eastAsia="zh-CN"/>
        </w:rPr>
        <w:t>（一）</w:t>
      </w:r>
      <w:r>
        <w:rPr>
          <w:rFonts w:hint="eastAsia" w:ascii="仿宋_GB2312" w:hAnsi="仿宋_GB2312" w:eastAsia="仿宋_GB2312" w:cs="仿宋_GB2312"/>
          <w:b w:val="0"/>
          <w:bCs/>
          <w:caps w:val="0"/>
          <w:color w:val="auto"/>
          <w:kern w:val="0"/>
          <w:sz w:val="28"/>
          <w:szCs w:val="28"/>
        </w:rPr>
        <w:t>中标单位审计人员</w:t>
      </w:r>
      <w:r>
        <w:rPr>
          <w:rFonts w:hint="eastAsia" w:ascii="仿宋_GB2312" w:hAnsi="仿宋_GB2312" w:eastAsia="仿宋_GB2312" w:cs="仿宋_GB2312"/>
          <w:b w:val="0"/>
          <w:bCs/>
          <w:caps w:val="0"/>
          <w:color w:val="auto"/>
          <w:kern w:val="0"/>
          <w:sz w:val="28"/>
          <w:szCs w:val="28"/>
          <w:lang w:eastAsia="zh-CN"/>
        </w:rPr>
        <w:t>入驻</w:t>
      </w:r>
      <w:r>
        <w:rPr>
          <w:rFonts w:hint="eastAsia" w:ascii="仿宋_GB2312" w:hAnsi="仿宋_GB2312" w:eastAsia="仿宋_GB2312" w:cs="仿宋_GB2312"/>
          <w:b w:val="0"/>
          <w:bCs/>
          <w:caps w:val="0"/>
          <w:color w:val="auto"/>
          <w:kern w:val="0"/>
          <w:sz w:val="28"/>
          <w:szCs w:val="28"/>
        </w:rPr>
        <w:t>时间不晚于</w:t>
      </w:r>
      <w:r>
        <w:rPr>
          <w:rFonts w:hint="eastAsia" w:ascii="仿宋_GB2312" w:hAnsi="仿宋_GB2312" w:eastAsia="仿宋_GB2312" w:cs="仿宋_GB2312"/>
          <w:b w:val="0"/>
          <w:bCs/>
          <w:caps w:val="0"/>
          <w:color w:val="auto"/>
          <w:kern w:val="0"/>
          <w:sz w:val="28"/>
          <w:szCs w:val="28"/>
          <w:lang w:eastAsia="zh-CN"/>
        </w:rPr>
        <w:t>电子</w:t>
      </w:r>
      <w:r>
        <w:rPr>
          <w:rFonts w:hint="eastAsia" w:ascii="仿宋_GB2312" w:hAnsi="仿宋_GB2312" w:eastAsia="仿宋_GB2312" w:cs="仿宋_GB2312"/>
          <w:b w:val="0"/>
          <w:bCs/>
          <w:caps w:val="0"/>
          <w:color w:val="auto"/>
          <w:kern w:val="0"/>
          <w:sz w:val="28"/>
          <w:szCs w:val="28"/>
        </w:rPr>
        <w:t>合同签订后10日内。</w:t>
      </w:r>
      <w:r>
        <w:rPr>
          <w:rFonts w:hint="eastAsia" w:ascii="仿宋_GB2312" w:hAnsi="仿宋_GB2312" w:eastAsia="仿宋_GB2312" w:cs="仿宋_GB2312"/>
          <w:b w:val="0"/>
          <w:bCs/>
          <w:caps w:val="0"/>
          <w:color w:val="auto"/>
          <w:kern w:val="0"/>
          <w:sz w:val="28"/>
          <w:szCs w:val="28"/>
          <w:lang w:eastAsia="zh-CN"/>
        </w:rPr>
        <w:t>中标单位</w:t>
      </w:r>
      <w:r>
        <w:rPr>
          <w:rFonts w:hint="eastAsia" w:ascii="仿宋_GB2312" w:hAnsi="仿宋_GB2312" w:eastAsia="仿宋_GB2312" w:cs="仿宋_GB2312"/>
          <w:b w:val="0"/>
          <w:bCs/>
          <w:caps w:val="0"/>
          <w:color w:val="auto"/>
          <w:kern w:val="0"/>
          <w:sz w:val="28"/>
          <w:szCs w:val="28"/>
        </w:rPr>
        <w:t>须在规定时间内入驻被审计单位履行审计业务。因乙方原因不能按照约定时间进场，影响正常工作</w:t>
      </w:r>
      <w:r>
        <w:rPr>
          <w:rFonts w:hint="eastAsia" w:ascii="仿宋_GB2312" w:hAnsi="仿宋_GB2312" w:eastAsia="仿宋_GB2312" w:cs="仿宋_GB2312"/>
          <w:b w:val="0"/>
          <w:bCs/>
          <w:caps w:val="0"/>
          <w:color w:val="auto"/>
          <w:kern w:val="0"/>
          <w:sz w:val="28"/>
          <w:szCs w:val="28"/>
          <w:lang w:eastAsia="zh-CN"/>
        </w:rPr>
        <w:t>开展的</w:t>
      </w:r>
      <w:r>
        <w:rPr>
          <w:rFonts w:hint="eastAsia" w:ascii="仿宋_GB2312" w:hAnsi="仿宋_GB2312" w:eastAsia="仿宋_GB2312" w:cs="仿宋_GB2312"/>
          <w:b w:val="0"/>
          <w:bCs/>
          <w:caps w:val="0"/>
          <w:color w:val="auto"/>
          <w:kern w:val="0"/>
          <w:sz w:val="28"/>
          <w:szCs w:val="28"/>
        </w:rPr>
        <w:t>，</w:t>
      </w:r>
      <w:r>
        <w:rPr>
          <w:rFonts w:hint="eastAsia" w:ascii="仿宋_GB2312" w:hAnsi="仿宋_GB2312" w:eastAsia="仿宋_GB2312" w:cs="仿宋_GB2312"/>
          <w:b w:val="0"/>
          <w:bCs/>
          <w:caps w:val="0"/>
          <w:color w:val="auto"/>
          <w:kern w:val="0"/>
          <w:sz w:val="28"/>
          <w:szCs w:val="28"/>
          <w:lang w:eastAsia="zh-CN"/>
        </w:rPr>
        <w:t>我方</w:t>
      </w:r>
      <w:r>
        <w:rPr>
          <w:rFonts w:hint="eastAsia" w:ascii="仿宋_GB2312" w:hAnsi="仿宋_GB2312" w:eastAsia="仿宋_GB2312" w:cs="仿宋_GB2312"/>
          <w:b w:val="0"/>
          <w:bCs/>
          <w:caps w:val="0"/>
          <w:color w:val="auto"/>
          <w:kern w:val="0"/>
          <w:sz w:val="28"/>
          <w:szCs w:val="28"/>
        </w:rPr>
        <w:t>有权取消其中标资格，非乙方原因除外。</w:t>
      </w:r>
    </w:p>
    <w:p>
      <w:pPr>
        <w:keepNext w:val="0"/>
        <w:keepLines w:val="0"/>
        <w:pageBreakBefore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b w:val="0"/>
          <w:bCs/>
          <w:caps w:val="0"/>
          <w:color w:val="auto"/>
          <w:kern w:val="0"/>
          <w:sz w:val="28"/>
          <w:szCs w:val="28"/>
        </w:rPr>
      </w:pPr>
      <w:r>
        <w:rPr>
          <w:rFonts w:hint="eastAsia" w:ascii="仿宋_GB2312" w:hAnsi="仿宋_GB2312" w:eastAsia="仿宋_GB2312" w:cs="仿宋_GB2312"/>
          <w:b w:val="0"/>
          <w:bCs/>
          <w:caps w:val="0"/>
          <w:color w:val="auto"/>
          <w:kern w:val="0"/>
          <w:sz w:val="28"/>
          <w:szCs w:val="28"/>
          <w:lang w:val="en-US" w:eastAsia="zh-CN"/>
        </w:rPr>
        <w:t>（二）</w:t>
      </w:r>
      <w:r>
        <w:rPr>
          <w:rFonts w:hint="eastAsia" w:ascii="仿宋_GB2312" w:hAnsi="仿宋_GB2312" w:eastAsia="仿宋_GB2312" w:cs="仿宋_GB2312"/>
          <w:b w:val="0"/>
          <w:bCs/>
          <w:caps w:val="0"/>
          <w:color w:val="auto"/>
          <w:kern w:val="0"/>
          <w:sz w:val="28"/>
          <w:szCs w:val="28"/>
        </w:rPr>
        <w:t>外勤工作不得少于</w:t>
      </w:r>
      <w:r>
        <w:rPr>
          <w:rFonts w:hint="eastAsia" w:ascii="仿宋_GB2312" w:hAnsi="仿宋_GB2312" w:eastAsia="仿宋_GB2312" w:cs="仿宋_GB2312"/>
          <w:b w:val="0"/>
          <w:bCs/>
          <w:caps w:val="0"/>
          <w:color w:val="auto"/>
          <w:kern w:val="0"/>
          <w:sz w:val="28"/>
          <w:szCs w:val="28"/>
          <w:lang w:val="en-US" w:eastAsia="zh-CN"/>
        </w:rPr>
        <w:t>10</w:t>
      </w:r>
      <w:r>
        <w:rPr>
          <w:rFonts w:hint="eastAsia" w:ascii="仿宋_GB2312" w:hAnsi="仿宋_GB2312" w:eastAsia="仿宋_GB2312" w:cs="仿宋_GB2312"/>
          <w:b w:val="0"/>
          <w:bCs/>
          <w:caps w:val="0"/>
          <w:color w:val="auto"/>
          <w:kern w:val="0"/>
          <w:sz w:val="28"/>
          <w:szCs w:val="28"/>
        </w:rPr>
        <w:t>个工作日</w:t>
      </w:r>
      <w:r>
        <w:rPr>
          <w:rFonts w:hint="eastAsia" w:ascii="仿宋_GB2312" w:hAnsi="仿宋_GB2312" w:eastAsia="仿宋_GB2312" w:cs="仿宋_GB2312"/>
          <w:b w:val="0"/>
          <w:bCs/>
          <w:caps w:val="0"/>
          <w:color w:val="auto"/>
          <w:kern w:val="0"/>
          <w:sz w:val="28"/>
          <w:szCs w:val="28"/>
          <w:lang w:eastAsia="zh-CN"/>
        </w:rPr>
        <w:t>（</w:t>
      </w:r>
      <w:r>
        <w:rPr>
          <w:rFonts w:hint="eastAsia" w:ascii="仿宋_GB2312" w:hAnsi="仿宋_GB2312" w:eastAsia="仿宋_GB2312" w:cs="仿宋_GB2312"/>
          <w:b w:val="0"/>
          <w:bCs/>
          <w:caps w:val="0"/>
          <w:color w:val="auto"/>
          <w:kern w:val="0"/>
          <w:sz w:val="28"/>
          <w:szCs w:val="28"/>
        </w:rPr>
        <w:t>外勤工作是指审计人员到项目现场进行审计）。外勤期间，甲方将派出相关</w:t>
      </w:r>
      <w:r>
        <w:rPr>
          <w:rFonts w:hint="eastAsia" w:ascii="仿宋_GB2312" w:hAnsi="仿宋_GB2312" w:eastAsia="仿宋_GB2312" w:cs="仿宋_GB2312"/>
          <w:b w:val="0"/>
          <w:bCs/>
          <w:caps w:val="0"/>
          <w:color w:val="auto"/>
          <w:kern w:val="0"/>
          <w:sz w:val="28"/>
          <w:szCs w:val="28"/>
          <w:lang w:eastAsia="zh-CN"/>
        </w:rPr>
        <w:t>人员对项目实施人员进行考勤抽查</w:t>
      </w:r>
      <w:r>
        <w:rPr>
          <w:rFonts w:hint="eastAsia" w:ascii="仿宋_GB2312" w:hAnsi="仿宋_GB2312" w:eastAsia="仿宋_GB2312" w:cs="仿宋_GB2312"/>
          <w:b w:val="0"/>
          <w:bCs/>
          <w:caps w:val="0"/>
          <w:color w:val="auto"/>
          <w:kern w:val="0"/>
          <w:sz w:val="28"/>
          <w:szCs w:val="28"/>
        </w:rPr>
        <w:t>。</w:t>
      </w:r>
    </w:p>
    <w:p>
      <w:pPr>
        <w:keepNext w:val="0"/>
        <w:keepLines w:val="0"/>
        <w:pageBreakBefore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b w:val="0"/>
          <w:bCs/>
          <w:caps w:val="0"/>
          <w:color w:val="auto"/>
          <w:kern w:val="0"/>
          <w:sz w:val="28"/>
          <w:szCs w:val="28"/>
        </w:rPr>
      </w:pPr>
      <w:r>
        <w:rPr>
          <w:rFonts w:hint="eastAsia" w:ascii="仿宋_GB2312" w:hAnsi="仿宋_GB2312" w:eastAsia="仿宋_GB2312" w:cs="仿宋_GB2312"/>
          <w:b w:val="0"/>
          <w:bCs/>
          <w:caps w:val="0"/>
          <w:color w:val="auto"/>
          <w:kern w:val="0"/>
          <w:sz w:val="28"/>
          <w:szCs w:val="28"/>
          <w:lang w:val="en-US" w:eastAsia="zh-CN"/>
        </w:rPr>
        <w:t>（三）</w:t>
      </w:r>
      <w:r>
        <w:rPr>
          <w:rFonts w:hint="eastAsia" w:ascii="仿宋_GB2312" w:hAnsi="仿宋_GB2312" w:eastAsia="仿宋_GB2312" w:cs="仿宋_GB2312"/>
          <w:b w:val="0"/>
          <w:bCs/>
          <w:caps w:val="0"/>
          <w:color w:val="auto"/>
          <w:kern w:val="0"/>
          <w:sz w:val="28"/>
          <w:szCs w:val="28"/>
        </w:rPr>
        <w:t>在完成外勤工作后</w:t>
      </w:r>
      <w:r>
        <w:rPr>
          <w:rFonts w:hint="eastAsia" w:ascii="仿宋_GB2312" w:hAnsi="仿宋_GB2312" w:eastAsia="仿宋_GB2312" w:cs="仿宋_GB2312"/>
          <w:b w:val="0"/>
          <w:bCs/>
          <w:caps w:val="0"/>
          <w:color w:val="auto"/>
          <w:kern w:val="0"/>
          <w:sz w:val="28"/>
          <w:szCs w:val="28"/>
          <w:lang w:val="en-US" w:eastAsia="zh-CN"/>
        </w:rPr>
        <w:t>7个工作</w:t>
      </w:r>
      <w:r>
        <w:rPr>
          <w:rFonts w:hint="eastAsia" w:ascii="仿宋_GB2312" w:hAnsi="仿宋_GB2312" w:eastAsia="仿宋_GB2312" w:cs="仿宋_GB2312"/>
          <w:b w:val="0"/>
          <w:bCs/>
          <w:caps w:val="0"/>
          <w:color w:val="auto"/>
          <w:kern w:val="0"/>
          <w:sz w:val="28"/>
          <w:szCs w:val="28"/>
        </w:rPr>
        <w:t>日内出具审计</w:t>
      </w:r>
      <w:r>
        <w:rPr>
          <w:rFonts w:hint="eastAsia" w:ascii="仿宋_GB2312" w:hAnsi="仿宋_GB2312" w:eastAsia="仿宋_GB2312" w:cs="仿宋_GB2312"/>
          <w:b w:val="0"/>
          <w:bCs/>
          <w:caps w:val="0"/>
          <w:color w:val="auto"/>
          <w:kern w:val="0"/>
          <w:sz w:val="28"/>
          <w:szCs w:val="28"/>
          <w:lang w:eastAsia="zh-CN"/>
        </w:rPr>
        <w:t>及绩效评价</w:t>
      </w:r>
      <w:r>
        <w:rPr>
          <w:rFonts w:hint="eastAsia" w:ascii="仿宋_GB2312" w:hAnsi="仿宋_GB2312" w:eastAsia="仿宋_GB2312" w:cs="仿宋_GB2312"/>
          <w:b w:val="0"/>
          <w:bCs/>
          <w:caps w:val="0"/>
          <w:color w:val="auto"/>
          <w:kern w:val="0"/>
          <w:sz w:val="28"/>
          <w:szCs w:val="28"/>
        </w:rPr>
        <w:t>报告征求意见稿。</w:t>
      </w:r>
    </w:p>
    <w:p>
      <w:pPr>
        <w:keepNext w:val="0"/>
        <w:keepLines w:val="0"/>
        <w:pageBreakBefore w:val="0"/>
        <w:kinsoku/>
        <w:wordWrap/>
        <w:overflowPunct/>
        <w:topLinePunct w:val="0"/>
        <w:autoSpaceDE/>
        <w:autoSpaceDN/>
        <w:bidi w:val="0"/>
        <w:adjustRightInd/>
        <w:snapToGrid/>
        <w:spacing w:line="440" w:lineRule="exact"/>
        <w:ind w:firstLine="420"/>
        <w:jc w:val="both"/>
        <w:textAlignment w:val="auto"/>
        <w:rPr>
          <w:rFonts w:hint="eastAsia" w:ascii="仿宋_GB2312" w:hAnsi="仿宋_GB2312" w:eastAsia="仿宋_GB2312" w:cs="仿宋_GB2312"/>
          <w:b w:val="0"/>
          <w:bCs/>
          <w:caps w:val="0"/>
          <w:color w:val="auto"/>
          <w:kern w:val="0"/>
          <w:sz w:val="28"/>
          <w:szCs w:val="28"/>
        </w:rPr>
      </w:pPr>
      <w:r>
        <w:rPr>
          <w:rFonts w:hint="eastAsia" w:ascii="仿宋_GB2312" w:hAnsi="仿宋_GB2312" w:eastAsia="仿宋_GB2312" w:cs="仿宋_GB2312"/>
          <w:b w:val="0"/>
          <w:bCs/>
          <w:caps w:val="0"/>
          <w:color w:val="auto"/>
          <w:kern w:val="0"/>
          <w:sz w:val="28"/>
          <w:szCs w:val="28"/>
          <w:lang w:eastAsia="zh-CN"/>
        </w:rPr>
        <w:t>（四）</w:t>
      </w:r>
      <w:r>
        <w:rPr>
          <w:rFonts w:hint="eastAsia" w:ascii="仿宋_GB2312" w:hAnsi="仿宋_GB2312" w:eastAsia="仿宋_GB2312" w:cs="仿宋_GB2312"/>
          <w:b w:val="0"/>
          <w:bCs/>
          <w:caps w:val="0"/>
          <w:color w:val="auto"/>
          <w:kern w:val="0"/>
          <w:sz w:val="28"/>
          <w:szCs w:val="28"/>
        </w:rPr>
        <w:t>如果在</w:t>
      </w:r>
      <w:r>
        <w:rPr>
          <w:rFonts w:hint="eastAsia" w:ascii="仿宋_GB2312" w:hAnsi="仿宋_GB2312" w:eastAsia="仿宋_GB2312" w:cs="仿宋_GB2312"/>
          <w:b w:val="0"/>
          <w:bCs/>
          <w:caps w:val="0"/>
          <w:color w:val="auto"/>
          <w:kern w:val="0"/>
          <w:sz w:val="28"/>
          <w:szCs w:val="28"/>
          <w:lang w:eastAsia="zh-CN"/>
        </w:rPr>
        <w:t>审计检查</w:t>
      </w:r>
      <w:r>
        <w:rPr>
          <w:rFonts w:hint="eastAsia" w:ascii="仿宋_GB2312" w:hAnsi="仿宋_GB2312" w:eastAsia="仿宋_GB2312" w:cs="仿宋_GB2312"/>
          <w:b w:val="0"/>
          <w:bCs/>
          <w:caps w:val="0"/>
          <w:color w:val="auto"/>
          <w:kern w:val="0"/>
          <w:sz w:val="28"/>
          <w:szCs w:val="28"/>
        </w:rPr>
        <w:t>过程中出现不可预见的情况，影响工作如期完成的，或者</w:t>
      </w:r>
      <w:r>
        <w:rPr>
          <w:rFonts w:hint="eastAsia" w:ascii="仿宋_GB2312" w:hAnsi="仿宋_GB2312" w:eastAsia="仿宋_GB2312" w:cs="仿宋_GB2312"/>
          <w:b w:val="0"/>
          <w:bCs/>
          <w:caps w:val="0"/>
          <w:color w:val="auto"/>
          <w:kern w:val="0"/>
          <w:sz w:val="28"/>
          <w:szCs w:val="28"/>
          <w:lang w:eastAsia="zh-CN"/>
        </w:rPr>
        <w:t>中标方</w:t>
      </w:r>
      <w:r>
        <w:rPr>
          <w:rFonts w:hint="eastAsia" w:ascii="仿宋_GB2312" w:hAnsi="仿宋_GB2312" w:eastAsia="仿宋_GB2312" w:cs="仿宋_GB2312"/>
          <w:b w:val="0"/>
          <w:bCs/>
          <w:caps w:val="0"/>
          <w:color w:val="auto"/>
          <w:kern w:val="0"/>
          <w:sz w:val="28"/>
          <w:szCs w:val="28"/>
        </w:rPr>
        <w:t>要求加快出具</w:t>
      </w:r>
      <w:r>
        <w:rPr>
          <w:rFonts w:hint="eastAsia" w:ascii="仿宋_GB2312" w:hAnsi="仿宋_GB2312" w:eastAsia="仿宋_GB2312" w:cs="仿宋_GB2312"/>
          <w:b w:val="0"/>
          <w:bCs/>
          <w:caps w:val="0"/>
          <w:color w:val="auto"/>
          <w:kern w:val="0"/>
          <w:sz w:val="28"/>
          <w:szCs w:val="28"/>
          <w:lang w:eastAsia="zh-CN"/>
        </w:rPr>
        <w:t>专项</w:t>
      </w:r>
      <w:r>
        <w:rPr>
          <w:rFonts w:hint="eastAsia" w:ascii="仿宋_GB2312" w:hAnsi="仿宋_GB2312" w:eastAsia="仿宋_GB2312" w:cs="仿宋_GB2312"/>
          <w:b w:val="0"/>
          <w:bCs/>
          <w:caps w:val="0"/>
          <w:color w:val="auto"/>
          <w:kern w:val="0"/>
          <w:sz w:val="28"/>
          <w:szCs w:val="28"/>
        </w:rPr>
        <w:t>报告的，均需通过双方协商变更或解除约定事项。</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四、审计组人员要求</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（一）本次招标项目审计人员需满足：项目组成员由1名项目负责人和至少5名审计人员组成；项目负责人为审计报告签章人、并须取得注册会计师执业证；项目负责人须在近5年内从事过类似项目工作。</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b w:val="0"/>
          <w:bCs/>
          <w:color w:val="auto"/>
          <w:kern w:val="2"/>
          <w:sz w:val="28"/>
          <w:szCs w:val="28"/>
          <w:lang w:val="en-US" w:eastAsia="zh-CN"/>
        </w:rPr>
      </w:pPr>
      <w:r>
        <w:rPr>
          <w:rFonts w:hint="eastAsia" w:ascii="仿宋_GB2312" w:hAnsi="仿宋_GB2312" w:eastAsia="仿宋_GB2312" w:cs="仿宋_GB2312"/>
          <w:b w:val="0"/>
          <w:bCs/>
          <w:color w:val="auto"/>
          <w:kern w:val="2"/>
          <w:sz w:val="28"/>
          <w:szCs w:val="28"/>
          <w:lang w:val="en-US" w:eastAsia="zh-CN"/>
        </w:rPr>
        <w:t>（二）在审计期间，我方所确定的项目负责人和其他审计人员等在未经甲方同意的情况下不得更换。</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五、</w:t>
      </w:r>
      <w:r>
        <w:rPr>
          <w:rFonts w:hint="eastAsia" w:ascii="黑体" w:hAnsi="黑体" w:eastAsia="黑体" w:cs="黑体"/>
          <w:b w:val="0"/>
          <w:bCs/>
          <w:color w:val="auto"/>
          <w:sz w:val="28"/>
          <w:szCs w:val="28"/>
        </w:rPr>
        <w:t>审计具体要求</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楷体" w:hAnsi="楷体" w:eastAsia="楷体" w:cs="楷体"/>
          <w:b w:val="0"/>
          <w:bCs/>
          <w:caps w:val="0"/>
          <w:color w:val="auto"/>
          <w:kern w:val="0"/>
          <w:sz w:val="28"/>
          <w:szCs w:val="28"/>
          <w:lang w:val="en-US" w:eastAsia="zh-CN" w:bidi="ar-SA"/>
        </w:rPr>
      </w:pPr>
      <w:r>
        <w:rPr>
          <w:rFonts w:hint="eastAsia" w:ascii="楷体" w:hAnsi="楷体" w:eastAsia="楷体" w:cs="楷体"/>
          <w:b w:val="0"/>
          <w:bCs/>
          <w:caps w:val="0"/>
          <w:color w:val="auto"/>
          <w:kern w:val="0"/>
          <w:sz w:val="28"/>
          <w:szCs w:val="28"/>
          <w:lang w:val="en-US" w:eastAsia="zh-CN" w:bidi="ar-SA"/>
        </w:rPr>
        <w:t>（一）所属二级机构财务内部审计的要求</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6个二级机构2020年度财务运行管理情况及1个二级机构</w:t>
      </w:r>
      <w:r>
        <w:rPr>
          <w:rFonts w:hint="eastAsia" w:ascii="仿宋_GB2312" w:hAnsi="仿宋_GB2312" w:eastAsia="仿宋_GB2312" w:cs="仿宋_GB2312"/>
          <w:b w:val="0"/>
          <w:bCs/>
          <w:caps w:val="0"/>
          <w:color w:val="auto"/>
          <w:kern w:val="0"/>
          <w:sz w:val="28"/>
          <w:szCs w:val="28"/>
          <w:lang w:val="en-US" w:eastAsia="zh-CN"/>
        </w:rPr>
        <w:t>2005年-2021年任期专项审计</w:t>
      </w:r>
      <w:r>
        <w:rPr>
          <w:rFonts w:hint="eastAsia" w:ascii="仿宋_GB2312" w:hAnsi="仿宋_GB2312" w:eastAsia="仿宋_GB2312" w:cs="仿宋_GB2312"/>
          <w:b w:val="0"/>
          <w:bCs/>
          <w:caps w:val="0"/>
          <w:color w:val="auto"/>
          <w:kern w:val="0"/>
          <w:sz w:val="28"/>
          <w:szCs w:val="28"/>
          <w:lang w:val="en-US" w:eastAsia="zh-CN" w:bidi="ar-SA"/>
        </w:rPr>
        <w:t>，主要包括但不限于：</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1、规章制度落实情况。贯彻落实“中央八项规定”及《党政机关厉行节约反对浪费条例》、《党政机关国内公务接待管理规定》等相关法律法规的情况，财务收支管理是否符合相关法规规定，单位内部控制管理是否规范，是否建立健全相关财务管理、内部控制制度；是否按照财务管理制度的规定，做到账款相符，财务开支审批制度是否完善，报销凭证及手续是否完备。奖金、福利发放情况是否超范围、超标准，是否存在擅自提高标准或巧立名目发放津贴补贴、奖金及福利的行为；“三公”经费开支情况（因公出国出境经费、公务车辆购置及运行费、公务接待费）。</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2、物资采购情况。资产购置项目是否按规定程序办理，重点检查是否存在违反政府采购规定和未经审批购置办公设施设备等情况。</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3、项目建设情况。重点关注项目建设程序、进度及效果等方面情况，特别是大型的基建、维修、设备采购和信息化建设等项目的资金使用、合同管理、招投标、项目运行情况等。</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 xml:space="preserve">   4、单位资产管理情况。是否建立健全资产管理制度，是否建立固定资产管理台帐，是否账卡相符、账实相符。</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5、专项经费管理使用情况。重点检查专项资金是否专款专用，是否存在挤占、挪用、超范围、超标准等违规使用专项资金的问题。</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aps w:val="0"/>
          <w:color w:val="auto"/>
          <w:kern w:val="0"/>
          <w:sz w:val="28"/>
          <w:szCs w:val="28"/>
          <w:lang w:val="en-US" w:eastAsia="zh-CN" w:bidi="ar-SA"/>
        </w:rPr>
      </w:pPr>
      <w:r>
        <w:rPr>
          <w:rFonts w:hint="eastAsia" w:ascii="仿宋_GB2312" w:hAnsi="仿宋_GB2312" w:eastAsia="仿宋_GB2312" w:cs="仿宋_GB2312"/>
          <w:b w:val="0"/>
          <w:bCs/>
          <w:caps w:val="0"/>
          <w:color w:val="auto"/>
          <w:kern w:val="0"/>
          <w:sz w:val="28"/>
          <w:szCs w:val="28"/>
          <w:lang w:val="en-US" w:eastAsia="zh-CN" w:bidi="ar-SA"/>
        </w:rPr>
        <w:t xml:space="preserve">6、“小金库”专项清理情况。是否隐瞒单位业务（经营收入）；资产处置、出租收入是否入账；是否以截留社会捐赠、政府奖补、停薪留职人员上交收入等其他形式设立收入设立“小金库”。   </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楷体" w:hAnsi="楷体" w:eastAsia="楷体" w:cs="楷体"/>
          <w:b w:val="0"/>
          <w:bCs/>
          <w:caps w:val="0"/>
          <w:color w:val="auto"/>
          <w:kern w:val="0"/>
          <w:sz w:val="28"/>
          <w:szCs w:val="28"/>
          <w:lang w:val="en-US" w:eastAsia="zh-CN" w:bidi="ar-SA"/>
        </w:rPr>
      </w:pPr>
      <w:r>
        <w:rPr>
          <w:rFonts w:hint="eastAsia" w:ascii="楷体" w:hAnsi="楷体" w:eastAsia="楷体" w:cs="楷体"/>
          <w:b w:val="0"/>
          <w:bCs/>
          <w:caps w:val="0"/>
          <w:color w:val="auto"/>
          <w:kern w:val="0"/>
          <w:sz w:val="28"/>
          <w:szCs w:val="28"/>
          <w:lang w:val="en-US" w:eastAsia="zh-CN" w:bidi="ar-SA"/>
        </w:rPr>
        <w:t>（二）永州市福彩公益金绩效评价工作要求</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default" w:ascii="仿宋_GB2312" w:hAnsi="仿宋_GB2312" w:eastAsia="仿宋_GB2312" w:cs="仿宋_GB2312"/>
          <w:b w:val="0"/>
          <w:bCs/>
          <w:caps w:val="0"/>
          <w:color w:val="auto"/>
          <w:kern w:val="0"/>
          <w:sz w:val="28"/>
          <w:szCs w:val="28"/>
          <w:lang w:val="en-US" w:eastAsia="zh-CN" w:bidi="ar-SA"/>
        </w:rPr>
      </w:pPr>
      <w:r>
        <w:rPr>
          <w:rFonts w:hint="default" w:ascii="仿宋_GB2312" w:hAnsi="仿宋_GB2312" w:eastAsia="仿宋_GB2312" w:cs="仿宋_GB2312"/>
          <w:b w:val="0"/>
          <w:bCs/>
          <w:caps w:val="0"/>
          <w:color w:val="auto"/>
          <w:kern w:val="0"/>
          <w:sz w:val="28"/>
          <w:szCs w:val="28"/>
          <w:lang w:val="en-US" w:eastAsia="zh-CN" w:bidi="ar-SA"/>
        </w:rPr>
        <w:t>本次绩效评价的范围为2019-2020年度永州市</w:t>
      </w:r>
      <w:r>
        <w:rPr>
          <w:rFonts w:hint="eastAsia" w:ascii="仿宋_GB2312" w:hAnsi="仿宋_GB2312" w:eastAsia="仿宋_GB2312" w:cs="仿宋_GB2312"/>
          <w:b w:val="0"/>
          <w:bCs/>
          <w:caps w:val="0"/>
          <w:color w:val="auto"/>
          <w:kern w:val="0"/>
          <w:sz w:val="28"/>
          <w:szCs w:val="28"/>
          <w:lang w:val="en-US" w:eastAsia="zh-CN" w:bidi="ar-SA"/>
        </w:rPr>
        <w:t>分成</w:t>
      </w:r>
      <w:r>
        <w:rPr>
          <w:rFonts w:hint="default" w:ascii="仿宋_GB2312" w:hAnsi="仿宋_GB2312" w:eastAsia="仿宋_GB2312" w:cs="仿宋_GB2312"/>
          <w:b w:val="0"/>
          <w:bCs/>
          <w:caps w:val="0"/>
          <w:color w:val="auto"/>
          <w:kern w:val="0"/>
          <w:sz w:val="28"/>
          <w:szCs w:val="28"/>
          <w:lang w:val="en-US" w:eastAsia="zh-CN" w:bidi="ar-SA"/>
        </w:rPr>
        <w:t>福彩公益金项目，该项目资金总额为4369万元，其中：2019年度2086.80万元，2020年度2282.20万元。项目区域涵盖全市民政系统，包含市本级、市辖区（冷水滩、零陵、经开区、金洞管理区和回龙圩管理区）以及祁阳、宁远等九县市。</w:t>
      </w:r>
    </w:p>
    <w:p>
      <w:pPr>
        <w:pStyle w:val="3"/>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ind w:left="420" w:leftChars="0" w:firstLine="280" w:firstLineChars="100"/>
        <w:jc w:val="both"/>
        <w:textAlignment w:val="auto"/>
        <w:rPr>
          <w:rFonts w:hint="eastAsia" w:ascii="楷体_GB2312" w:hAnsi="楷体_GB2312" w:eastAsia="楷体_GB2312" w:cs="楷体_GB2312"/>
          <w:b w:val="0"/>
          <w:bCs/>
          <w:color w:val="auto"/>
          <w:kern w:val="2"/>
          <w:sz w:val="28"/>
          <w:szCs w:val="28"/>
          <w:lang w:val="en-US" w:eastAsia="zh-CN"/>
        </w:rPr>
      </w:pPr>
      <w:r>
        <w:rPr>
          <w:rFonts w:hint="eastAsia" w:ascii="楷体_GB2312" w:hAnsi="楷体_GB2312" w:eastAsia="楷体_GB2312" w:cs="楷体_GB2312"/>
          <w:b w:val="0"/>
          <w:bCs/>
          <w:color w:val="auto"/>
          <w:kern w:val="2"/>
          <w:sz w:val="28"/>
          <w:szCs w:val="28"/>
          <w:lang w:val="en-US" w:eastAsia="zh-CN"/>
        </w:rPr>
        <w:t>（三）报价要求</w:t>
      </w:r>
    </w:p>
    <w:p>
      <w:pPr>
        <w:pStyle w:val="3"/>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jc w:val="both"/>
        <w:textAlignment w:val="auto"/>
        <w:rPr>
          <w:rFonts w:hint="default" w:ascii="楷体_GB2312" w:hAnsi="楷体_GB2312" w:eastAsia="楷体_GB2312" w:cs="楷体_GB2312"/>
          <w:b w:val="0"/>
          <w:bCs/>
          <w:color w:val="auto"/>
          <w:kern w:val="2"/>
          <w:sz w:val="28"/>
          <w:szCs w:val="28"/>
          <w:lang w:val="en-US" w:eastAsia="zh-CN"/>
        </w:rPr>
      </w:pPr>
      <w:r>
        <w:rPr>
          <w:rFonts w:hint="eastAsia" w:ascii="楷体_GB2312" w:hAnsi="楷体_GB2312" w:eastAsia="楷体_GB2312" w:cs="楷体_GB2312"/>
          <w:b w:val="0"/>
          <w:bCs/>
          <w:color w:val="auto"/>
          <w:kern w:val="2"/>
          <w:sz w:val="28"/>
          <w:szCs w:val="28"/>
          <w:lang w:val="en-US" w:eastAsia="zh-CN"/>
        </w:rPr>
        <w:t xml:space="preserve">  </w:t>
      </w:r>
      <w:r>
        <w:rPr>
          <w:rFonts w:hint="eastAsia" w:ascii="仿宋_GB2312" w:hAnsi="仿宋_GB2312" w:eastAsia="仿宋_GB2312" w:cs="仿宋_GB2312"/>
          <w:b w:val="0"/>
          <w:bCs/>
          <w:caps w:val="0"/>
          <w:color w:val="auto"/>
          <w:kern w:val="0"/>
          <w:sz w:val="28"/>
          <w:szCs w:val="28"/>
          <w:lang w:val="en-US" w:eastAsia="zh-CN" w:bidi="ar-SA"/>
        </w:rPr>
        <w:t xml:space="preserve">  所属二级机构专项审计及永州市福彩公益金绩效评价工作分单位分项目进行分项报价。</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b w:val="0"/>
          <w:bCs/>
          <w:color w:val="auto"/>
          <w:kern w:val="2"/>
          <w:sz w:val="28"/>
          <w:szCs w:val="28"/>
        </w:rPr>
      </w:pPr>
      <w:r>
        <w:rPr>
          <w:rFonts w:hint="eastAsia" w:ascii="楷体_GB2312" w:hAnsi="楷体_GB2312" w:eastAsia="楷体_GB2312" w:cs="楷体_GB2312"/>
          <w:b w:val="0"/>
          <w:bCs/>
          <w:color w:val="auto"/>
          <w:kern w:val="2"/>
          <w:sz w:val="28"/>
          <w:szCs w:val="28"/>
          <w:lang w:eastAsia="zh-CN"/>
        </w:rPr>
        <w:t>（四）</w:t>
      </w:r>
      <w:r>
        <w:rPr>
          <w:rFonts w:hint="eastAsia" w:ascii="楷体_GB2312" w:hAnsi="楷体_GB2312" w:eastAsia="楷体_GB2312" w:cs="楷体_GB2312"/>
          <w:b w:val="0"/>
          <w:bCs/>
          <w:color w:val="auto"/>
          <w:kern w:val="2"/>
          <w:sz w:val="28"/>
          <w:szCs w:val="28"/>
        </w:rPr>
        <w:t>其他要求</w:t>
      </w:r>
      <w:r>
        <w:rPr>
          <w:rFonts w:hint="eastAsia" w:ascii="楷体_GB2312" w:hAnsi="楷体_GB2312" w:eastAsia="楷体_GB2312" w:cs="楷体_GB2312"/>
          <w:b w:val="0"/>
          <w:bCs/>
          <w:color w:val="auto"/>
          <w:kern w:val="2"/>
          <w:sz w:val="28"/>
          <w:szCs w:val="28"/>
          <w:lang w:val="en-US" w:eastAsia="zh-CN"/>
        </w:rPr>
        <w:t xml:space="preserve"> </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olor w:val="auto"/>
          <w:kern w:val="2"/>
          <w:sz w:val="28"/>
          <w:szCs w:val="28"/>
        </w:rPr>
      </w:pPr>
      <w:r>
        <w:rPr>
          <w:rFonts w:hint="eastAsia" w:ascii="仿宋_GB2312" w:hAnsi="仿宋_GB2312" w:eastAsia="仿宋_GB2312" w:cs="仿宋_GB2312"/>
          <w:b w:val="0"/>
          <w:bCs/>
          <w:color w:val="auto"/>
          <w:kern w:val="2"/>
          <w:sz w:val="28"/>
          <w:szCs w:val="28"/>
        </w:rPr>
        <w:t>中标单位须保管好所有与</w:t>
      </w:r>
      <w:r>
        <w:rPr>
          <w:rFonts w:hint="eastAsia" w:ascii="仿宋_GB2312" w:hAnsi="仿宋_GB2312" w:eastAsia="仿宋_GB2312" w:cs="仿宋_GB2312"/>
          <w:b w:val="0"/>
          <w:bCs/>
          <w:color w:val="auto"/>
          <w:kern w:val="2"/>
          <w:sz w:val="28"/>
          <w:szCs w:val="28"/>
          <w:lang w:eastAsia="zh-CN"/>
        </w:rPr>
        <w:t>委托</w:t>
      </w:r>
      <w:r>
        <w:rPr>
          <w:rFonts w:hint="eastAsia" w:ascii="仿宋_GB2312" w:hAnsi="仿宋_GB2312" w:eastAsia="仿宋_GB2312" w:cs="仿宋_GB2312"/>
          <w:b w:val="0"/>
          <w:bCs/>
          <w:color w:val="auto"/>
          <w:kern w:val="2"/>
          <w:sz w:val="28"/>
          <w:szCs w:val="28"/>
        </w:rPr>
        <w:t>单位相关的材料，移交给中标单位的所有资料（纸质、电子稿），在完成外勤工作后，请中标单位及时退还</w:t>
      </w:r>
      <w:r>
        <w:rPr>
          <w:rFonts w:hint="eastAsia" w:ascii="仿宋_GB2312" w:hAnsi="仿宋_GB2312" w:eastAsia="仿宋_GB2312" w:cs="仿宋_GB2312"/>
          <w:b w:val="0"/>
          <w:bCs/>
          <w:color w:val="auto"/>
          <w:kern w:val="2"/>
          <w:sz w:val="28"/>
          <w:szCs w:val="28"/>
          <w:lang w:eastAsia="zh-CN"/>
        </w:rPr>
        <w:t>我方</w:t>
      </w:r>
      <w:r>
        <w:rPr>
          <w:rFonts w:hint="eastAsia" w:ascii="仿宋_GB2312" w:hAnsi="仿宋_GB2312" w:eastAsia="仿宋_GB2312" w:cs="仿宋_GB2312"/>
          <w:b w:val="0"/>
          <w:bCs/>
          <w:color w:val="auto"/>
          <w:kern w:val="2"/>
          <w:sz w:val="28"/>
          <w:szCs w:val="28"/>
        </w:rPr>
        <w:t>，并保证其安全和完整。</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olor w:val="auto"/>
          <w:kern w:val="2"/>
          <w:sz w:val="28"/>
          <w:szCs w:val="28"/>
        </w:rPr>
      </w:pPr>
      <w:r>
        <w:rPr>
          <w:rFonts w:hint="eastAsia" w:ascii="仿宋_GB2312" w:hAnsi="仿宋_GB2312" w:eastAsia="仿宋_GB2312" w:cs="仿宋_GB2312"/>
          <w:b w:val="0"/>
          <w:bCs/>
          <w:color w:val="auto"/>
          <w:kern w:val="2"/>
          <w:sz w:val="28"/>
          <w:szCs w:val="28"/>
        </w:rPr>
        <w:t>除法律另有规定外，未经</w:t>
      </w:r>
      <w:r>
        <w:rPr>
          <w:rFonts w:hint="eastAsia" w:ascii="仿宋_GB2312" w:hAnsi="仿宋_GB2312" w:eastAsia="仿宋_GB2312" w:cs="仿宋_GB2312"/>
          <w:b w:val="0"/>
          <w:bCs/>
          <w:color w:val="auto"/>
          <w:kern w:val="2"/>
          <w:sz w:val="28"/>
          <w:szCs w:val="28"/>
          <w:lang w:eastAsia="zh-CN"/>
        </w:rPr>
        <w:t>我方</w:t>
      </w:r>
      <w:r>
        <w:rPr>
          <w:rFonts w:hint="eastAsia" w:ascii="仿宋_GB2312" w:hAnsi="仿宋_GB2312" w:eastAsia="仿宋_GB2312" w:cs="仿宋_GB2312"/>
          <w:b w:val="0"/>
          <w:bCs/>
          <w:color w:val="auto"/>
          <w:kern w:val="2"/>
          <w:sz w:val="28"/>
          <w:szCs w:val="28"/>
        </w:rPr>
        <w:t>同意，中标单位不得将被审计</w:t>
      </w:r>
      <w:r>
        <w:rPr>
          <w:rFonts w:hint="eastAsia" w:ascii="仿宋_GB2312" w:hAnsi="仿宋_GB2312" w:eastAsia="仿宋_GB2312" w:cs="仿宋_GB2312"/>
          <w:b w:val="0"/>
          <w:bCs/>
          <w:color w:val="auto"/>
          <w:kern w:val="2"/>
          <w:sz w:val="28"/>
          <w:szCs w:val="28"/>
          <w:lang w:eastAsia="zh-CN"/>
        </w:rPr>
        <w:t>检查</w:t>
      </w:r>
      <w:r>
        <w:rPr>
          <w:rFonts w:hint="eastAsia" w:ascii="仿宋_GB2312" w:hAnsi="仿宋_GB2312" w:eastAsia="仿宋_GB2312" w:cs="仿宋_GB2312"/>
          <w:b w:val="0"/>
          <w:bCs/>
          <w:color w:val="auto"/>
          <w:kern w:val="2"/>
          <w:sz w:val="28"/>
          <w:szCs w:val="28"/>
        </w:rPr>
        <w:t>单位提供的资料泄露给</w:t>
      </w:r>
      <w:r>
        <w:rPr>
          <w:rFonts w:hint="eastAsia" w:ascii="仿宋_GB2312" w:hAnsi="仿宋_GB2312" w:eastAsia="仿宋_GB2312" w:cs="仿宋_GB2312"/>
          <w:b w:val="0"/>
          <w:bCs/>
          <w:color w:val="auto"/>
          <w:kern w:val="2"/>
          <w:sz w:val="28"/>
          <w:szCs w:val="28"/>
          <w:lang w:eastAsia="zh-CN"/>
        </w:rPr>
        <w:t>我方</w:t>
      </w:r>
      <w:r>
        <w:rPr>
          <w:rFonts w:hint="eastAsia" w:ascii="仿宋_GB2312" w:hAnsi="仿宋_GB2312" w:eastAsia="仿宋_GB2312" w:cs="仿宋_GB2312"/>
          <w:b w:val="0"/>
          <w:bCs/>
          <w:color w:val="auto"/>
          <w:kern w:val="2"/>
          <w:sz w:val="28"/>
          <w:szCs w:val="28"/>
        </w:rPr>
        <w:t>以外的第三者。保证所调阅的被审计</w:t>
      </w:r>
      <w:r>
        <w:rPr>
          <w:rFonts w:hint="eastAsia" w:ascii="仿宋_GB2312" w:hAnsi="仿宋_GB2312" w:eastAsia="仿宋_GB2312" w:cs="仿宋_GB2312"/>
          <w:b w:val="0"/>
          <w:bCs/>
          <w:color w:val="auto"/>
          <w:kern w:val="2"/>
          <w:sz w:val="28"/>
          <w:szCs w:val="28"/>
          <w:lang w:eastAsia="zh-CN"/>
        </w:rPr>
        <w:t>检查</w:t>
      </w:r>
      <w:r>
        <w:rPr>
          <w:rFonts w:hint="eastAsia" w:ascii="仿宋_GB2312" w:hAnsi="仿宋_GB2312" w:eastAsia="仿宋_GB2312" w:cs="仿宋_GB2312"/>
          <w:b w:val="0"/>
          <w:bCs/>
          <w:color w:val="auto"/>
          <w:kern w:val="2"/>
          <w:sz w:val="28"/>
          <w:szCs w:val="28"/>
        </w:rPr>
        <w:t>单位资料的完整性。</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olor w:val="auto"/>
          <w:kern w:val="2"/>
          <w:sz w:val="28"/>
          <w:szCs w:val="28"/>
        </w:rPr>
      </w:pPr>
      <w:r>
        <w:rPr>
          <w:rFonts w:hint="eastAsia" w:ascii="仿宋_GB2312" w:hAnsi="仿宋_GB2312" w:eastAsia="仿宋_GB2312" w:cs="仿宋_GB2312"/>
          <w:b w:val="0"/>
          <w:bCs/>
          <w:color w:val="auto"/>
          <w:kern w:val="2"/>
          <w:sz w:val="28"/>
          <w:szCs w:val="28"/>
        </w:rPr>
        <w:t>中标单位此次</w:t>
      </w:r>
      <w:r>
        <w:rPr>
          <w:rFonts w:hint="eastAsia" w:ascii="仿宋_GB2312" w:hAnsi="仿宋_GB2312" w:eastAsia="仿宋_GB2312" w:cs="仿宋_GB2312"/>
          <w:b w:val="0"/>
          <w:bCs/>
          <w:color w:val="auto"/>
          <w:kern w:val="2"/>
          <w:sz w:val="28"/>
          <w:szCs w:val="28"/>
          <w:lang w:eastAsia="zh-CN"/>
        </w:rPr>
        <w:t>审计检查</w:t>
      </w:r>
      <w:r>
        <w:rPr>
          <w:rFonts w:hint="eastAsia" w:ascii="仿宋_GB2312" w:hAnsi="仿宋_GB2312" w:eastAsia="仿宋_GB2312" w:cs="仿宋_GB2312"/>
          <w:b w:val="0"/>
          <w:bCs/>
          <w:color w:val="auto"/>
          <w:kern w:val="2"/>
          <w:sz w:val="28"/>
          <w:szCs w:val="28"/>
        </w:rPr>
        <w:t>项目的所有审计工作底稿，在完成本项目审计工作后请提供一份完整的电子稿</w:t>
      </w:r>
      <w:r>
        <w:rPr>
          <w:rFonts w:hint="eastAsia" w:ascii="仿宋_GB2312" w:hAnsi="仿宋_GB2312" w:eastAsia="仿宋_GB2312" w:cs="仿宋_GB2312"/>
          <w:b w:val="0"/>
          <w:bCs/>
          <w:color w:val="auto"/>
          <w:kern w:val="2"/>
          <w:sz w:val="28"/>
          <w:szCs w:val="28"/>
          <w:lang w:eastAsia="zh-CN"/>
        </w:rPr>
        <w:t>和纸质版审计工作底稿</w:t>
      </w:r>
      <w:r>
        <w:rPr>
          <w:rFonts w:hint="eastAsia" w:ascii="仿宋_GB2312" w:hAnsi="仿宋_GB2312" w:eastAsia="仿宋_GB2312" w:cs="仿宋_GB2312"/>
          <w:b w:val="0"/>
          <w:bCs/>
          <w:color w:val="auto"/>
          <w:kern w:val="2"/>
          <w:sz w:val="28"/>
          <w:szCs w:val="28"/>
        </w:rPr>
        <w:t>于</w:t>
      </w:r>
      <w:r>
        <w:rPr>
          <w:rFonts w:hint="eastAsia" w:ascii="仿宋_GB2312" w:hAnsi="仿宋_GB2312" w:eastAsia="仿宋_GB2312" w:cs="仿宋_GB2312"/>
          <w:b w:val="0"/>
          <w:bCs/>
          <w:color w:val="auto"/>
          <w:kern w:val="2"/>
          <w:sz w:val="28"/>
          <w:szCs w:val="28"/>
          <w:lang w:eastAsia="zh-CN"/>
        </w:rPr>
        <w:t>我方</w:t>
      </w:r>
      <w:r>
        <w:rPr>
          <w:rFonts w:hint="eastAsia" w:ascii="仿宋_GB2312" w:hAnsi="仿宋_GB2312" w:eastAsia="仿宋_GB2312" w:cs="仿宋_GB2312"/>
          <w:b w:val="0"/>
          <w:bCs/>
          <w:color w:val="auto"/>
          <w:kern w:val="2"/>
          <w:sz w:val="28"/>
          <w:szCs w:val="28"/>
        </w:rPr>
        <w:t>。</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olor w:val="auto"/>
          <w:kern w:val="2"/>
          <w:sz w:val="28"/>
          <w:szCs w:val="28"/>
        </w:rPr>
      </w:pPr>
      <w:r>
        <w:rPr>
          <w:rFonts w:hint="eastAsia" w:ascii="仿宋_GB2312" w:hAnsi="仿宋_GB2312" w:eastAsia="仿宋_GB2312" w:cs="仿宋_GB2312"/>
          <w:b w:val="0"/>
          <w:bCs/>
          <w:color w:val="auto"/>
          <w:kern w:val="2"/>
          <w:sz w:val="28"/>
          <w:szCs w:val="28"/>
        </w:rPr>
        <w:t>审计工作结束后，所有涉及被审计单位的资料数据等一并删除，不得用于其他目的。在审计过程中，</w:t>
      </w:r>
      <w:r>
        <w:rPr>
          <w:rFonts w:hint="eastAsia" w:ascii="仿宋_GB2312" w:hAnsi="仿宋_GB2312" w:eastAsia="仿宋_GB2312" w:cs="仿宋_GB2312"/>
          <w:b w:val="0"/>
          <w:bCs/>
          <w:color w:val="auto"/>
          <w:kern w:val="2"/>
          <w:sz w:val="28"/>
          <w:szCs w:val="28"/>
          <w:lang w:eastAsia="zh-CN"/>
        </w:rPr>
        <w:t>我方将</w:t>
      </w:r>
      <w:r>
        <w:rPr>
          <w:rFonts w:hint="eastAsia" w:ascii="仿宋_GB2312" w:hAnsi="仿宋_GB2312" w:eastAsia="仿宋_GB2312" w:cs="仿宋_GB2312"/>
          <w:b w:val="0"/>
          <w:bCs/>
          <w:color w:val="auto"/>
          <w:kern w:val="2"/>
          <w:sz w:val="28"/>
          <w:szCs w:val="28"/>
        </w:rPr>
        <w:t>视情况派出一到两名工作人员参与中标单位审计一个模块的工作。</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Chars="200"/>
        <w:jc w:val="both"/>
        <w:textAlignment w:val="auto"/>
        <w:rPr>
          <w:rFonts w:hint="eastAsia" w:ascii="仿宋_GB2312" w:hAnsi="仿宋_GB2312" w:eastAsia="仿宋_GB2312" w:cs="仿宋_GB2312"/>
          <w:b w:val="0"/>
          <w:bCs/>
          <w:color w:val="auto"/>
          <w:kern w:val="2"/>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B11A2"/>
    <w:multiLevelType w:val="singleLevel"/>
    <w:tmpl w:val="0D6B11A2"/>
    <w:lvl w:ilvl="0" w:tentative="0">
      <w:start w:val="2"/>
      <w:numFmt w:val="chineseCounting"/>
      <w:suff w:val="nothing"/>
      <w:lvlText w:val="%1、"/>
      <w:lvlJc w:val="left"/>
      <w:pPr>
        <w:ind w:left="21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77EF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样式1"/>
    <w:basedOn w:val="1"/>
    <w:link w:val="7"/>
    <w:qFormat/>
    <w:uiPriority w:val="0"/>
    <w:rPr>
      <w:b/>
      <w:color w:val="548235" w:themeColor="accent6" w:themeShade="BF"/>
      <w:sz w:val="28"/>
    </w:rPr>
  </w:style>
  <w:style w:type="character" w:customStyle="1" w:styleId="7">
    <w:name w:val="样式1 Char"/>
    <w:basedOn w:val="5"/>
    <w:link w:val="6"/>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kylin</cp:lastModifiedBy>
  <dcterms:modified xsi:type="dcterms:W3CDTF">2021-08-20T17:44:20Z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